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86" w:rsidRPr="007C3686" w:rsidRDefault="007C3686" w:rsidP="007C3686">
      <w:pPr>
        <w:ind w:left="28" w:right="14" w:hanging="14"/>
        <w:jc w:val="center"/>
        <w:rPr>
          <w:rFonts w:ascii="Calibri" w:eastAsia="Calibri" w:hAnsi="Calibri" w:cs="Calibri"/>
          <w:b/>
          <w:color w:val="000000"/>
          <w:sz w:val="28"/>
          <w:szCs w:val="28"/>
        </w:rPr>
      </w:pPr>
      <w:bookmarkStart w:id="0" w:name="_GoBack"/>
      <w:bookmarkEnd w:id="0"/>
      <w:r w:rsidRPr="007C3686">
        <w:rPr>
          <w:rFonts w:ascii="Calibri" w:eastAsia="Calibri" w:hAnsi="Calibri" w:cs="Calibri"/>
          <w:b/>
          <w:color w:val="000000"/>
          <w:sz w:val="28"/>
          <w:szCs w:val="28"/>
        </w:rPr>
        <w:t>Adult Measles Vaccination Guidance</w:t>
      </w:r>
    </w:p>
    <w:p w:rsidR="007C3686" w:rsidRPr="007C3686" w:rsidRDefault="007C3686" w:rsidP="007C3686">
      <w:pPr>
        <w:ind w:left="28" w:right="14" w:hanging="14"/>
        <w:jc w:val="center"/>
        <w:rPr>
          <w:rFonts w:ascii="Calibri" w:eastAsia="Calibri" w:hAnsi="Calibri" w:cs="Calibri"/>
          <w:b/>
          <w:color w:val="000000"/>
          <w:sz w:val="28"/>
          <w:szCs w:val="28"/>
        </w:rPr>
      </w:pPr>
    </w:p>
    <w:p w:rsidR="007C3686" w:rsidRPr="007C3686" w:rsidRDefault="007C3686" w:rsidP="007C3686">
      <w:pPr>
        <w:rPr>
          <w:rFonts w:eastAsiaTheme="minorHAnsi"/>
          <w:szCs w:val="24"/>
        </w:rPr>
      </w:pPr>
      <w:r w:rsidRPr="007C3686">
        <w:rPr>
          <w:rFonts w:eastAsiaTheme="minorHAnsi"/>
          <w:b/>
          <w:bCs/>
          <w:szCs w:val="24"/>
          <w:u w:val="single"/>
        </w:rPr>
        <w:t>Background</w:t>
      </w:r>
      <w:r w:rsidRPr="007C3686">
        <w:rPr>
          <w:rFonts w:eastAsiaTheme="minorHAnsi"/>
          <w:b/>
          <w:bCs/>
          <w:szCs w:val="24"/>
        </w:rPr>
        <w:t xml:space="preserve">:  Most adults in the U.S. are at low risk for measles.  </w:t>
      </w:r>
    </w:p>
    <w:p w:rsidR="007C3686" w:rsidRPr="007C3686" w:rsidRDefault="007C3686" w:rsidP="007C3686">
      <w:pPr>
        <w:numPr>
          <w:ilvl w:val="0"/>
          <w:numId w:val="2"/>
        </w:numPr>
        <w:rPr>
          <w:szCs w:val="24"/>
        </w:rPr>
      </w:pPr>
      <w:r w:rsidRPr="007C3686">
        <w:rPr>
          <w:szCs w:val="24"/>
        </w:rPr>
        <w:t xml:space="preserve">From January 1 to May 24, 2019, 940 individual cases of measles have been confirmed in 26 states. This is an increase of 60 cases from the previous week. This is the greatest number of cases reported in the U.S. since 1994 and since measles was declared eliminated in 2000. Ohio has no confirmed measles cases as of May 30, 2019.  </w:t>
      </w:r>
    </w:p>
    <w:p w:rsidR="007C3686" w:rsidRPr="007C3686" w:rsidRDefault="007C3686" w:rsidP="007C3686">
      <w:pPr>
        <w:spacing w:before="100" w:beforeAutospacing="1" w:after="100" w:afterAutospacing="1"/>
        <w:rPr>
          <w:rFonts w:eastAsiaTheme="minorHAnsi"/>
          <w:szCs w:val="24"/>
        </w:rPr>
      </w:pPr>
      <w:r w:rsidRPr="007C3686">
        <w:rPr>
          <w:rFonts w:eastAsiaTheme="minorHAnsi"/>
          <w:b/>
          <w:bCs/>
          <w:szCs w:val="24"/>
          <w:u w:val="single"/>
        </w:rPr>
        <w:t>Recommendations</w:t>
      </w:r>
      <w:r w:rsidRPr="007C3686">
        <w:rPr>
          <w:rFonts w:eastAsiaTheme="minorHAnsi"/>
          <w:b/>
          <w:bCs/>
          <w:szCs w:val="24"/>
        </w:rPr>
        <w:t xml:space="preserve">: One dose of measles, mumps, and rubella (MMR) vaccine, or other presumptive immunity, is </w:t>
      </w:r>
      <w:proofErr w:type="gramStart"/>
      <w:r w:rsidRPr="007C3686">
        <w:rPr>
          <w:rFonts w:eastAsiaTheme="minorHAnsi"/>
          <w:b/>
          <w:bCs/>
          <w:szCs w:val="24"/>
        </w:rPr>
        <w:t>sufficient</w:t>
      </w:r>
      <w:proofErr w:type="gramEnd"/>
      <w:r w:rsidRPr="007C3686">
        <w:rPr>
          <w:rFonts w:eastAsiaTheme="minorHAnsi"/>
          <w:b/>
          <w:bCs/>
          <w:szCs w:val="24"/>
        </w:rPr>
        <w:t xml:space="preserve"> for most U.S. adults born on or after 1957. </w:t>
      </w:r>
    </w:p>
    <w:p w:rsidR="007C3686" w:rsidRPr="007C3686" w:rsidRDefault="007C3686" w:rsidP="007C3686">
      <w:pPr>
        <w:rPr>
          <w:rFonts w:eastAsiaTheme="minorHAnsi"/>
          <w:szCs w:val="24"/>
        </w:rPr>
      </w:pPr>
      <w:r w:rsidRPr="007C3686">
        <w:rPr>
          <w:rFonts w:eastAsiaTheme="minorHAnsi"/>
          <w:szCs w:val="24"/>
        </w:rPr>
        <w:t>Other presumptive evidence of measles immunity includes:</w:t>
      </w:r>
    </w:p>
    <w:p w:rsidR="007C3686" w:rsidRPr="007C3686" w:rsidRDefault="007C3686" w:rsidP="007C3686">
      <w:pPr>
        <w:numPr>
          <w:ilvl w:val="0"/>
          <w:numId w:val="2"/>
        </w:numPr>
        <w:rPr>
          <w:szCs w:val="24"/>
        </w:rPr>
      </w:pPr>
      <w:r w:rsidRPr="007C3686">
        <w:rPr>
          <w:szCs w:val="24"/>
        </w:rPr>
        <w:t>Birth before 1957</w:t>
      </w:r>
    </w:p>
    <w:p w:rsidR="007C3686" w:rsidRPr="007C3686" w:rsidRDefault="007C3686" w:rsidP="007C3686">
      <w:pPr>
        <w:numPr>
          <w:ilvl w:val="0"/>
          <w:numId w:val="2"/>
        </w:numPr>
        <w:rPr>
          <w:szCs w:val="24"/>
        </w:rPr>
      </w:pPr>
      <w:r w:rsidRPr="007C3686">
        <w:rPr>
          <w:szCs w:val="24"/>
        </w:rPr>
        <w:t>Laboratory evidence of immunity</w:t>
      </w:r>
    </w:p>
    <w:p w:rsidR="007C3686" w:rsidRPr="007C3686" w:rsidRDefault="007C3686" w:rsidP="007C3686">
      <w:pPr>
        <w:numPr>
          <w:ilvl w:val="0"/>
          <w:numId w:val="2"/>
        </w:numPr>
        <w:rPr>
          <w:szCs w:val="24"/>
        </w:rPr>
      </w:pPr>
      <w:r w:rsidRPr="007C3686">
        <w:rPr>
          <w:szCs w:val="24"/>
        </w:rPr>
        <w:t>Laboratory confirmation of disease</w:t>
      </w:r>
    </w:p>
    <w:p w:rsidR="007C3686" w:rsidRPr="007C3686" w:rsidRDefault="007C3686" w:rsidP="007C3686">
      <w:pPr>
        <w:rPr>
          <w:rFonts w:eastAsiaTheme="minorHAnsi"/>
          <w:szCs w:val="24"/>
        </w:rPr>
      </w:pPr>
    </w:p>
    <w:p w:rsidR="007C3686" w:rsidRPr="007C3686" w:rsidRDefault="007C3686" w:rsidP="007C3686">
      <w:pPr>
        <w:rPr>
          <w:rFonts w:eastAsiaTheme="minorHAnsi"/>
          <w:szCs w:val="24"/>
        </w:rPr>
      </w:pPr>
      <w:r w:rsidRPr="007C3686">
        <w:rPr>
          <w:rFonts w:eastAsiaTheme="minorHAnsi"/>
          <w:szCs w:val="24"/>
        </w:rPr>
        <w:t>Certain adults are considered to be high risk and need two doses of MMR, each dose separated by at least 28 days, unless they have other presumptive evidence of measles immunity, as listed above.  These adults include:</w:t>
      </w:r>
    </w:p>
    <w:p w:rsidR="007C3686" w:rsidRPr="007C3686" w:rsidRDefault="007C3686" w:rsidP="007C3686">
      <w:pPr>
        <w:numPr>
          <w:ilvl w:val="0"/>
          <w:numId w:val="2"/>
        </w:numPr>
        <w:rPr>
          <w:szCs w:val="24"/>
        </w:rPr>
      </w:pPr>
      <w:r w:rsidRPr="007C3686">
        <w:rPr>
          <w:szCs w:val="24"/>
        </w:rPr>
        <w:t>Students at post-high school education institutions</w:t>
      </w:r>
    </w:p>
    <w:p w:rsidR="007C3686" w:rsidRPr="007C3686" w:rsidRDefault="007C3686" w:rsidP="007C3686">
      <w:pPr>
        <w:numPr>
          <w:ilvl w:val="0"/>
          <w:numId w:val="2"/>
        </w:numPr>
        <w:spacing w:before="100" w:beforeAutospacing="1" w:after="100" w:afterAutospacing="1"/>
        <w:rPr>
          <w:szCs w:val="24"/>
        </w:rPr>
      </w:pPr>
      <w:r w:rsidRPr="007C3686">
        <w:rPr>
          <w:szCs w:val="24"/>
        </w:rPr>
        <w:t>Healthcare personnel</w:t>
      </w:r>
    </w:p>
    <w:p w:rsidR="007C3686" w:rsidRPr="007C3686" w:rsidRDefault="007C3686" w:rsidP="007C3686">
      <w:pPr>
        <w:numPr>
          <w:ilvl w:val="0"/>
          <w:numId w:val="2"/>
        </w:numPr>
        <w:spacing w:before="100" w:beforeAutospacing="1" w:after="100" w:afterAutospacing="1"/>
        <w:rPr>
          <w:szCs w:val="24"/>
        </w:rPr>
      </w:pPr>
      <w:r w:rsidRPr="007C3686">
        <w:rPr>
          <w:szCs w:val="24"/>
        </w:rPr>
        <w:t>International travelers</w:t>
      </w:r>
    </w:p>
    <w:p w:rsidR="007C3686" w:rsidRPr="007C3686" w:rsidRDefault="007C3686" w:rsidP="007C3686">
      <w:pPr>
        <w:spacing w:before="100" w:beforeAutospacing="1" w:after="100" w:afterAutospacing="1"/>
        <w:rPr>
          <w:rFonts w:eastAsiaTheme="minorHAnsi"/>
          <w:szCs w:val="24"/>
        </w:rPr>
      </w:pPr>
      <w:r w:rsidRPr="007C3686">
        <w:rPr>
          <w:rFonts w:eastAsiaTheme="minorHAnsi"/>
          <w:szCs w:val="24"/>
        </w:rPr>
        <w:t xml:space="preserve">Some adults may have received a killed measles vaccine during the 1960’s.  The killed measles vaccine was available from 1963 to 1968 and administered to less than 5% of adults.  The ACIP recommendation is to re-vaccinate anyone who received the killed vaccine.  However, this only affects a very small proportion of adults that were vaccinated during those years.  </w:t>
      </w:r>
    </w:p>
    <w:p w:rsidR="007C3686" w:rsidRPr="007C3686" w:rsidRDefault="007C3686" w:rsidP="007C3686">
      <w:pPr>
        <w:spacing w:before="100" w:beforeAutospacing="1" w:after="100" w:afterAutospacing="1"/>
        <w:rPr>
          <w:rFonts w:eastAsiaTheme="minorHAnsi"/>
          <w:szCs w:val="24"/>
        </w:rPr>
      </w:pPr>
      <w:r w:rsidRPr="007C3686">
        <w:rPr>
          <w:rFonts w:eastAsiaTheme="minorHAnsi"/>
          <w:szCs w:val="24"/>
        </w:rPr>
        <w:t xml:space="preserve">During outbreaks, health departments may provide additional recommendations to protect their communities.  The at-risk population is defined by the local and state health departments, depending on the epidemiology of the outbreak.  Thus, </w:t>
      </w:r>
      <w:r w:rsidRPr="007C3686">
        <w:rPr>
          <w:rFonts w:eastAsiaTheme="minorHAnsi"/>
          <w:szCs w:val="24"/>
          <w:lang w:val="en"/>
        </w:rPr>
        <w:t xml:space="preserve">if the outbreak is affecting preschool-aged children or adults with community-wide transmission, a second dose should be considered for children aged 1 through 4 years or adults who have received 1 dose. </w:t>
      </w:r>
      <w:r w:rsidRPr="007C3686">
        <w:rPr>
          <w:rFonts w:eastAsiaTheme="minorHAnsi"/>
          <w:szCs w:val="24"/>
        </w:rPr>
        <w:t>CDC is working on clinical guidance for protection of infant travelers to areas within the United States that are experiencing sustained measles transmission.</w:t>
      </w:r>
    </w:p>
    <w:p w:rsidR="007C3686" w:rsidRPr="007C3686" w:rsidRDefault="007C3686" w:rsidP="007C3686">
      <w:pPr>
        <w:rPr>
          <w:rFonts w:eastAsiaTheme="minorHAnsi"/>
          <w:szCs w:val="24"/>
        </w:rPr>
      </w:pPr>
      <w:r w:rsidRPr="007C3686">
        <w:rPr>
          <w:rFonts w:eastAsiaTheme="minorHAnsi"/>
          <w:b/>
          <w:bCs/>
          <w:szCs w:val="24"/>
        </w:rPr>
        <w:t>Clarification of recommendations:</w:t>
      </w:r>
    </w:p>
    <w:p w:rsidR="007C3686" w:rsidRPr="007C3686" w:rsidRDefault="007C3686" w:rsidP="007C3686">
      <w:pPr>
        <w:numPr>
          <w:ilvl w:val="0"/>
          <w:numId w:val="2"/>
        </w:numPr>
        <w:rPr>
          <w:szCs w:val="24"/>
        </w:rPr>
      </w:pPr>
      <w:r w:rsidRPr="007C3686">
        <w:rPr>
          <w:szCs w:val="24"/>
        </w:rPr>
        <w:t>There is no recommendation for an adult catch-up program for persons born before 1989</w:t>
      </w:r>
    </w:p>
    <w:p w:rsidR="007C3686" w:rsidRPr="007C3686" w:rsidRDefault="007C3686" w:rsidP="007C3686">
      <w:pPr>
        <w:numPr>
          <w:ilvl w:val="0"/>
          <w:numId w:val="2"/>
        </w:numPr>
        <w:rPr>
          <w:szCs w:val="24"/>
        </w:rPr>
      </w:pPr>
      <w:r w:rsidRPr="007C3686">
        <w:rPr>
          <w:szCs w:val="24"/>
        </w:rPr>
        <w:t>There is no recommendation for vaccination campaigns among adults or individuals in non-affected areas to prevent measles outbreaks</w:t>
      </w:r>
    </w:p>
    <w:sectPr w:rsidR="007C3686" w:rsidRPr="007C3686" w:rsidSect="00965CE4">
      <w:head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547" w:rsidRDefault="003F6547" w:rsidP="00984BDF">
      <w:r>
        <w:separator/>
      </w:r>
    </w:p>
  </w:endnote>
  <w:endnote w:type="continuationSeparator" w:id="0">
    <w:p w:rsidR="003F6547" w:rsidRDefault="003F6547" w:rsidP="009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C3" w:rsidRDefault="004E27C3">
    <w:pPr>
      <w:pStyle w:val="Footer"/>
      <w:rPr>
        <w:rFonts w:ascii="Univers" w:hAnsi="Univers"/>
        <w:color w:val="767171" w:themeColor="background2" w:themeShade="80"/>
        <w:sz w:val="16"/>
        <w:szCs w:val="16"/>
      </w:rPr>
    </w:pPr>
  </w:p>
  <w:p w:rsidR="00E5734C" w:rsidRDefault="007C3686">
    <w:pPr>
      <w:pStyle w:val="Footer"/>
      <w:rPr>
        <w:rFonts w:ascii="Univers" w:hAnsi="Univers"/>
        <w:color w:val="767171" w:themeColor="background2" w:themeShade="80"/>
        <w:sz w:val="16"/>
        <w:szCs w:val="16"/>
      </w:rPr>
    </w:pPr>
    <w:r>
      <w:rPr>
        <w:rFonts w:ascii="Univers" w:hAnsi="Univers"/>
        <w:color w:val="767171" w:themeColor="background2" w:themeShade="80"/>
        <w:sz w:val="16"/>
        <w:szCs w:val="16"/>
      </w:rPr>
      <w:t xml:space="preserve"> May 30, 2019</w:t>
    </w:r>
  </w:p>
  <w:p w:rsidR="004E27C3" w:rsidRDefault="004E27C3">
    <w:pPr>
      <w:pStyle w:val="Footer"/>
      <w:rPr>
        <w:rFonts w:ascii="Univers" w:hAnsi="Univers"/>
        <w:color w:val="767171" w:themeColor="background2" w:themeShade="80"/>
        <w:sz w:val="16"/>
        <w:szCs w:val="16"/>
      </w:rPr>
    </w:pPr>
  </w:p>
  <w:p w:rsidR="00C61B66" w:rsidRPr="00CC6175" w:rsidRDefault="00C61B66">
    <w:pPr>
      <w:pStyle w:val="Footer"/>
      <w:rPr>
        <w:rFonts w:ascii="Univers" w:hAnsi="Univers"/>
        <w:color w:val="767171" w:themeColor="background2" w:themeShade="80"/>
        <w:sz w:val="16"/>
        <w:szCs w:val="16"/>
      </w:rPr>
    </w:pPr>
    <w:r w:rsidRPr="00CC6175">
      <w:rPr>
        <w:rFonts w:ascii="Univers" w:hAnsi="Univers"/>
        <w:color w:val="767171" w:themeColor="background2" w:themeShade="80"/>
        <w:sz w:val="16"/>
        <w:szCs w:val="16"/>
      </w:rPr>
      <w:t xml:space="preserve">                                   </w:t>
    </w:r>
    <w:r w:rsidR="001F3787">
      <w:rPr>
        <w:rFonts w:ascii="Univers" w:hAnsi="Univers"/>
        <w:color w:val="767171" w:themeColor="background2" w:themeShade="80"/>
        <w:sz w:val="16"/>
        <w:szCs w:val="16"/>
      </w:rPr>
      <w:t xml:space="preserve"> </w:t>
    </w:r>
    <w:r w:rsidR="0037782C">
      <w:rPr>
        <w:rFonts w:ascii="Univers" w:hAnsi="Univers"/>
        <w:color w:val="767171" w:themeColor="background2" w:themeShade="80"/>
        <w:sz w:val="16"/>
        <w:szCs w:val="16"/>
      </w:rPr>
      <w:t xml:space="preserve"> </w:t>
    </w:r>
    <w:r w:rsidRPr="00CC6175">
      <w:rPr>
        <w:rFonts w:ascii="Univers" w:hAnsi="Univers"/>
        <w:color w:val="767171" w:themeColor="background2" w:themeShade="80"/>
        <w:sz w:val="16"/>
        <w:szCs w:val="16"/>
      </w:rPr>
      <w:t>246 North High S</w:t>
    </w:r>
    <w:r w:rsidR="001F5C27">
      <w:rPr>
        <w:rFonts w:ascii="Univers" w:hAnsi="Univers"/>
        <w:color w:val="767171" w:themeColor="background2" w:themeShade="80"/>
        <w:sz w:val="16"/>
        <w:szCs w:val="16"/>
      </w:rPr>
      <w:t xml:space="preserve">treet                           </w:t>
    </w:r>
    <w:r w:rsidRPr="00CC6175">
      <w:rPr>
        <w:rFonts w:ascii="Univers" w:hAnsi="Univers"/>
        <w:color w:val="767171" w:themeColor="background2" w:themeShade="80"/>
        <w:sz w:val="16"/>
        <w:szCs w:val="16"/>
      </w:rPr>
      <w:t>614 I 466-3543</w:t>
    </w:r>
  </w:p>
  <w:p w:rsidR="00C61B66" w:rsidRPr="00CC6175" w:rsidRDefault="00C61B66">
    <w:pPr>
      <w:pStyle w:val="Footer"/>
      <w:rPr>
        <w:rFonts w:ascii="Univers" w:hAnsi="Univers"/>
        <w:color w:val="767171" w:themeColor="background2" w:themeShade="80"/>
        <w:sz w:val="16"/>
        <w:szCs w:val="16"/>
      </w:rPr>
    </w:pPr>
    <w:r w:rsidRPr="00CC6175">
      <w:rPr>
        <w:rFonts w:ascii="Univers" w:hAnsi="Univers"/>
        <w:color w:val="767171" w:themeColor="background2" w:themeShade="80"/>
        <w:sz w:val="16"/>
        <w:szCs w:val="16"/>
      </w:rPr>
      <w:t xml:space="preserve">                                  </w:t>
    </w:r>
    <w:r w:rsidR="00733F45">
      <w:rPr>
        <w:rFonts w:ascii="Univers" w:hAnsi="Univers"/>
        <w:color w:val="767171" w:themeColor="background2" w:themeShade="80"/>
        <w:sz w:val="16"/>
        <w:szCs w:val="16"/>
      </w:rPr>
      <w:t xml:space="preserve"> </w:t>
    </w:r>
    <w:r w:rsidR="001F3787">
      <w:rPr>
        <w:rFonts w:ascii="Univers" w:hAnsi="Univers"/>
        <w:color w:val="767171" w:themeColor="background2" w:themeShade="80"/>
        <w:sz w:val="16"/>
        <w:szCs w:val="16"/>
      </w:rPr>
      <w:t xml:space="preserve"> </w:t>
    </w:r>
    <w:r w:rsidR="0037782C">
      <w:rPr>
        <w:rFonts w:ascii="Univers" w:hAnsi="Univers"/>
        <w:color w:val="767171" w:themeColor="background2" w:themeShade="80"/>
        <w:sz w:val="16"/>
        <w:szCs w:val="16"/>
      </w:rPr>
      <w:t xml:space="preserve"> </w:t>
    </w:r>
    <w:r w:rsidRPr="00CC6175">
      <w:rPr>
        <w:rFonts w:ascii="Univers" w:hAnsi="Univers"/>
        <w:color w:val="767171" w:themeColor="background2" w:themeShade="80"/>
        <w:sz w:val="16"/>
        <w:szCs w:val="16"/>
      </w:rPr>
      <w:t>Columbus, Ohio 43215  U.S.A.</w:t>
    </w:r>
    <w:r w:rsidR="000E5C4B" w:rsidRPr="00CC6175">
      <w:rPr>
        <w:rFonts w:ascii="Univers" w:hAnsi="Univers"/>
        <w:color w:val="767171" w:themeColor="background2" w:themeShade="80"/>
        <w:sz w:val="16"/>
        <w:szCs w:val="16"/>
      </w:rPr>
      <w:t xml:space="preserve">            www.odh.ohio.gov</w:t>
    </w:r>
  </w:p>
  <w:p w:rsidR="00C61B66" w:rsidRPr="00CC6175" w:rsidRDefault="00C61B66">
    <w:pPr>
      <w:pStyle w:val="Footer"/>
      <w:rPr>
        <w:rFonts w:ascii="Univers" w:hAnsi="Univers"/>
        <w:b/>
        <w:color w:val="767171" w:themeColor="background2" w:themeShade="80"/>
        <w:sz w:val="18"/>
        <w:szCs w:val="18"/>
      </w:rPr>
    </w:pPr>
  </w:p>
  <w:p w:rsidR="00C61B66" w:rsidRPr="00CC6175" w:rsidRDefault="00C61B66">
    <w:pPr>
      <w:pStyle w:val="Footer"/>
      <w:rPr>
        <w:rFonts w:ascii="Univers" w:hAnsi="Univers"/>
        <w:color w:val="767171" w:themeColor="background2" w:themeShade="80"/>
        <w:sz w:val="14"/>
        <w:szCs w:val="18"/>
      </w:rPr>
    </w:pPr>
    <w:r w:rsidRPr="00CC6175">
      <w:rPr>
        <w:rFonts w:ascii="Univers" w:hAnsi="Univers"/>
        <w:color w:val="767171" w:themeColor="background2" w:themeShade="80"/>
        <w:sz w:val="14"/>
        <w:szCs w:val="18"/>
      </w:rPr>
      <w:t xml:space="preserve">                                         </w:t>
    </w:r>
    <w:r w:rsidR="001F3787">
      <w:rPr>
        <w:rFonts w:ascii="Univers" w:hAnsi="Univers"/>
        <w:color w:val="767171" w:themeColor="background2" w:themeShade="80"/>
        <w:sz w:val="14"/>
        <w:szCs w:val="18"/>
      </w:rPr>
      <w:t xml:space="preserve"> </w:t>
    </w:r>
    <w:r w:rsidR="00733F45">
      <w:rPr>
        <w:rFonts w:ascii="Univers" w:hAnsi="Univers"/>
        <w:color w:val="767171" w:themeColor="background2" w:themeShade="80"/>
        <w:sz w:val="14"/>
        <w:szCs w:val="18"/>
      </w:rPr>
      <w:t>T</w:t>
    </w:r>
    <w:r w:rsidRPr="00CC6175">
      <w:rPr>
        <w:rFonts w:ascii="Univers" w:hAnsi="Univers"/>
        <w:color w:val="767171" w:themeColor="background2" w:themeShade="80"/>
        <w:sz w:val="14"/>
        <w:szCs w:val="18"/>
      </w:rPr>
      <w:t>he State of Ohio is an Equal Opportunity Employer and Provider of ADA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547" w:rsidRDefault="003F6547" w:rsidP="00984BDF">
      <w:r>
        <w:separator/>
      </w:r>
    </w:p>
  </w:footnote>
  <w:footnote w:type="continuationSeparator" w:id="0">
    <w:p w:rsidR="003F6547" w:rsidRDefault="003F6547" w:rsidP="0098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DF" w:rsidRDefault="00984BDF" w:rsidP="00BD0F28">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66" w:rsidRDefault="00157329" w:rsidP="008611A9">
    <w:pPr>
      <w:pStyle w:val="Header"/>
      <w:tabs>
        <w:tab w:val="clear" w:pos="4680"/>
        <w:tab w:val="clear" w:pos="9360"/>
        <w:tab w:val="left" w:pos="3600"/>
      </w:tabs>
    </w:pPr>
    <w:r>
      <w:rPr>
        <w:noProof/>
      </w:rPr>
      <w:drawing>
        <wp:anchor distT="0" distB="0" distL="114300" distR="114300" simplePos="0" relativeHeight="251658240" behindDoc="1" locked="0" layoutInCell="1" allowOverlap="1">
          <wp:simplePos x="0" y="0"/>
          <wp:positionH relativeFrom="column">
            <wp:posOffset>-121920</wp:posOffset>
          </wp:positionH>
          <wp:positionV relativeFrom="paragraph">
            <wp:posOffset>-76200</wp:posOffset>
          </wp:positionV>
          <wp:extent cx="6964680" cy="1127760"/>
          <wp:effectExtent l="0" t="0" r="7620" b="0"/>
          <wp:wrapTight wrapText="bothSides">
            <wp:wrapPolygon edited="0">
              <wp:start x="0" y="0"/>
              <wp:lineTo x="0" y="21162"/>
              <wp:lineTo x="21565" y="21162"/>
              <wp:lineTo x="215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etterhead Main Office Banner.jpg"/>
                  <pic:cNvPicPr/>
                </pic:nvPicPr>
                <pic:blipFill rotWithShape="1">
                  <a:blip r:embed="rId1">
                    <a:extLst>
                      <a:ext uri="{28A0092B-C50C-407E-A947-70E740481C1C}">
                        <a14:useLocalDpi xmlns:a14="http://schemas.microsoft.com/office/drawing/2010/main" val="0"/>
                      </a:ext>
                    </a:extLst>
                  </a:blip>
                  <a:srcRect l="3691" t="11468" r="13222" b="50420"/>
                  <a:stretch/>
                </pic:blipFill>
                <pic:spPr bwMode="auto">
                  <a:xfrm>
                    <a:off x="0" y="0"/>
                    <a:ext cx="6964680"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19BF"/>
    <w:multiLevelType w:val="hybridMultilevel"/>
    <w:tmpl w:val="E7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24D3B"/>
    <w:multiLevelType w:val="multilevel"/>
    <w:tmpl w:val="0B2E5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DF"/>
    <w:rsid w:val="00015A2B"/>
    <w:rsid w:val="00053C39"/>
    <w:rsid w:val="000736EF"/>
    <w:rsid w:val="000A397D"/>
    <w:rsid w:val="000E5C4B"/>
    <w:rsid w:val="00157329"/>
    <w:rsid w:val="00165DED"/>
    <w:rsid w:val="001B5AB8"/>
    <w:rsid w:val="001C01A8"/>
    <w:rsid w:val="001E60AE"/>
    <w:rsid w:val="001F3787"/>
    <w:rsid w:val="001F5C27"/>
    <w:rsid w:val="001F64C7"/>
    <w:rsid w:val="002249B7"/>
    <w:rsid w:val="00262819"/>
    <w:rsid w:val="00282B06"/>
    <w:rsid w:val="002E59F0"/>
    <w:rsid w:val="003349A7"/>
    <w:rsid w:val="0037782C"/>
    <w:rsid w:val="003A0B27"/>
    <w:rsid w:val="003D4F8F"/>
    <w:rsid w:val="003F6547"/>
    <w:rsid w:val="00440F26"/>
    <w:rsid w:val="0044410C"/>
    <w:rsid w:val="00480ACA"/>
    <w:rsid w:val="00484385"/>
    <w:rsid w:val="00484783"/>
    <w:rsid w:val="004951DA"/>
    <w:rsid w:val="004D3B7F"/>
    <w:rsid w:val="004E27C3"/>
    <w:rsid w:val="005748B5"/>
    <w:rsid w:val="00587652"/>
    <w:rsid w:val="0058776C"/>
    <w:rsid w:val="005A0CD5"/>
    <w:rsid w:val="005A5802"/>
    <w:rsid w:val="006021D9"/>
    <w:rsid w:val="00630086"/>
    <w:rsid w:val="0067125D"/>
    <w:rsid w:val="0068545C"/>
    <w:rsid w:val="006E5FB8"/>
    <w:rsid w:val="006F7C5C"/>
    <w:rsid w:val="00733F45"/>
    <w:rsid w:val="007530D0"/>
    <w:rsid w:val="007749CD"/>
    <w:rsid w:val="007C3686"/>
    <w:rsid w:val="007E1779"/>
    <w:rsid w:val="007E63D0"/>
    <w:rsid w:val="008611A9"/>
    <w:rsid w:val="008C3E7C"/>
    <w:rsid w:val="008D2C9E"/>
    <w:rsid w:val="008E5A34"/>
    <w:rsid w:val="00914D7C"/>
    <w:rsid w:val="00916D65"/>
    <w:rsid w:val="00965CE4"/>
    <w:rsid w:val="00973782"/>
    <w:rsid w:val="00984BDF"/>
    <w:rsid w:val="009A7688"/>
    <w:rsid w:val="009B6371"/>
    <w:rsid w:val="00A131EF"/>
    <w:rsid w:val="00A53901"/>
    <w:rsid w:val="00AC6535"/>
    <w:rsid w:val="00AF713F"/>
    <w:rsid w:val="00B22028"/>
    <w:rsid w:val="00B31085"/>
    <w:rsid w:val="00B32829"/>
    <w:rsid w:val="00B90B2E"/>
    <w:rsid w:val="00B96217"/>
    <w:rsid w:val="00B978AD"/>
    <w:rsid w:val="00BB2565"/>
    <w:rsid w:val="00BB7081"/>
    <w:rsid w:val="00BD0F28"/>
    <w:rsid w:val="00C54EFB"/>
    <w:rsid w:val="00C61B66"/>
    <w:rsid w:val="00CB104D"/>
    <w:rsid w:val="00CB33CC"/>
    <w:rsid w:val="00CC151C"/>
    <w:rsid w:val="00CC28C8"/>
    <w:rsid w:val="00CC6175"/>
    <w:rsid w:val="00D5630C"/>
    <w:rsid w:val="00D6670D"/>
    <w:rsid w:val="00D85C15"/>
    <w:rsid w:val="00D91793"/>
    <w:rsid w:val="00DA0482"/>
    <w:rsid w:val="00DA49B5"/>
    <w:rsid w:val="00DB058D"/>
    <w:rsid w:val="00DB58EB"/>
    <w:rsid w:val="00DD6BB9"/>
    <w:rsid w:val="00E07DBE"/>
    <w:rsid w:val="00E3116F"/>
    <w:rsid w:val="00E3180C"/>
    <w:rsid w:val="00E5734C"/>
    <w:rsid w:val="00E91498"/>
    <w:rsid w:val="00EB2CC1"/>
    <w:rsid w:val="00F65AA9"/>
    <w:rsid w:val="00F9669A"/>
    <w:rsid w:val="00FC6EEA"/>
    <w:rsid w:val="00FD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26545-4416-477B-9023-801E1F6C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DF"/>
    <w:pPr>
      <w:tabs>
        <w:tab w:val="center" w:pos="4680"/>
        <w:tab w:val="right" w:pos="9360"/>
      </w:tabs>
    </w:pPr>
  </w:style>
  <w:style w:type="character" w:customStyle="1" w:styleId="HeaderChar">
    <w:name w:val="Header Char"/>
    <w:basedOn w:val="DefaultParagraphFont"/>
    <w:link w:val="Header"/>
    <w:uiPriority w:val="99"/>
    <w:rsid w:val="00984BDF"/>
  </w:style>
  <w:style w:type="paragraph" w:styleId="Footer">
    <w:name w:val="footer"/>
    <w:basedOn w:val="Normal"/>
    <w:link w:val="FooterChar"/>
    <w:uiPriority w:val="99"/>
    <w:unhideWhenUsed/>
    <w:rsid w:val="00984BDF"/>
    <w:pPr>
      <w:tabs>
        <w:tab w:val="center" w:pos="4680"/>
        <w:tab w:val="right" w:pos="9360"/>
      </w:tabs>
    </w:pPr>
  </w:style>
  <w:style w:type="character" w:customStyle="1" w:styleId="FooterChar">
    <w:name w:val="Footer Char"/>
    <w:basedOn w:val="DefaultParagraphFont"/>
    <w:link w:val="Footer"/>
    <w:uiPriority w:val="99"/>
    <w:rsid w:val="00984BDF"/>
  </w:style>
  <w:style w:type="paragraph" w:styleId="BalloonText">
    <w:name w:val="Balloon Text"/>
    <w:basedOn w:val="Normal"/>
    <w:link w:val="BalloonTextChar"/>
    <w:uiPriority w:val="99"/>
    <w:semiHidden/>
    <w:unhideWhenUsed/>
    <w:rsid w:val="00AF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3F"/>
    <w:rPr>
      <w:rFonts w:ascii="Segoe UI" w:hAnsi="Segoe UI" w:cs="Segoe UI"/>
      <w:sz w:val="18"/>
      <w:szCs w:val="18"/>
    </w:rPr>
  </w:style>
  <w:style w:type="character" w:styleId="Hyperlink">
    <w:name w:val="Hyperlink"/>
    <w:basedOn w:val="DefaultParagraphFont"/>
    <w:uiPriority w:val="99"/>
    <w:unhideWhenUsed/>
    <w:rsid w:val="00DB58EB"/>
    <w:rPr>
      <w:color w:val="0563C1" w:themeColor="hyperlink"/>
      <w:u w:val="single"/>
    </w:rPr>
  </w:style>
  <w:style w:type="character" w:styleId="UnresolvedMention">
    <w:name w:val="Unresolved Mention"/>
    <w:basedOn w:val="DefaultParagraphFont"/>
    <w:uiPriority w:val="99"/>
    <w:semiHidden/>
    <w:unhideWhenUsed/>
    <w:rsid w:val="00DB58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2128-2A41-4075-8A46-616C547F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Ness, Travis</dc:creator>
  <cp:keywords/>
  <dc:description/>
  <cp:lastModifiedBy>Salehi, Ellen</cp:lastModifiedBy>
  <cp:revision>2</cp:revision>
  <cp:lastPrinted>2019-02-28T17:26:00Z</cp:lastPrinted>
  <dcterms:created xsi:type="dcterms:W3CDTF">2019-05-30T20:07:00Z</dcterms:created>
  <dcterms:modified xsi:type="dcterms:W3CDTF">2019-05-30T20:07:00Z</dcterms:modified>
</cp:coreProperties>
</file>